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88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附件3：</w:t>
      </w: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tabs>
          <w:tab w:val="left" w:pos="748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2016年度省级水行政主管部门巡查赋分表</w:t>
      </w:r>
    </w:p>
    <w:p>
      <w:pPr>
        <w:widowControl/>
        <w:jc w:val="left"/>
        <w:rPr>
          <w:rFonts w:ascii="仿宋_GB2312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被巡查单位：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_GB2312" w:eastAsia="仿宋_GB2312"/>
          <w:b/>
          <w:bCs/>
          <w:sz w:val="24"/>
          <w:szCs w:val="24"/>
        </w:rPr>
        <w:t>巡查时间: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               </w:t>
      </w:r>
      <w:r>
        <w:rPr>
          <w:rFonts w:hint="eastAsia" w:ascii="仿宋_GB2312" w:eastAsia="仿宋_GB2312"/>
          <w:b/>
          <w:bCs/>
          <w:sz w:val="24"/>
          <w:szCs w:val="24"/>
        </w:rPr>
        <w:t>巡查得分：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       </w:t>
      </w:r>
    </w:p>
    <w:tbl>
      <w:tblPr>
        <w:tblStyle w:val="5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85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巡查内容及赋分标准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4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转发《重大水利工程建设安全生产巡查工作制度》（2分）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4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建立重大水利工程建设安全生产监督责任体系（3分）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54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制订重大水利工程建设安全生产监督细则（1分），明确巡查机构（2分）、人员落实情况（2分）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4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级确定重大水利工程（含部巡查项目）____个，已经巡查了____个（6分），按比例计分。巡查了____个次（暂不赋分，供大排名时进行比较）。是否要求市、县水行政主管部门每年对重大水利工程进行安全巡查（1分）。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4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重大水利工程建设生产安全事故重大隐患治理督办制度建立（2分）及落实情况（2分），监督检查中发现隐患及问题的整改落实情况（3分）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4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重大水利工程建设汛期安全生产工作落实，包括印发文件和组织检查等落实措施（4分）、危化品专项整治工作工作落实，包括印发文件和组织检查等落实措施（4分）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4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推动重大水利工程项目法人开展安全生产标准化建设情况（5分）按比例计分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4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重大水利工程信息上报情况（3分）按比例计分。未于7月31日前登录到水利安全生产信息上报系统的，每个工程扣1分。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8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488"/>
        </w:tabs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组长（签</w:t>
      </w:r>
      <w:r>
        <w:rPr>
          <w:rFonts w:hint="eastAsia" w:ascii="仿宋_GB2312" w:eastAsia="仿宋_GB2312"/>
          <w:b/>
          <w:sz w:val="28"/>
          <w:szCs w:val="28"/>
        </w:rPr>
        <w:t>字）：                        填表人（签字）：                       填报时间：2016年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2716"/>
    <w:rsid w:val="22392716"/>
    <w:rsid w:val="2FA667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_GB2312" w:asciiTheme="minorAscii" w:hAnsiTheme="minorAscii"/>
      <w:b/>
      <w:kern w:val="44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2016-07-04T01:23:00Z</dcterms:created>
  <dc:creator>lenovo</dc:creator>
  <cp:lastModifiedBy>lenovo</cp:lastModifiedBy>
  <dcterms:modified xsi:type="dcterms:W3CDTF">2016-07-04T01:24:40Z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