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jc w:val="center"/>
        <w:rPr>
          <w:rFonts w:ascii="黑体" w:hAnsi="黑体" w:eastAsia="黑体"/>
          <w:sz w:val="36"/>
          <w:szCs w:val="32"/>
        </w:rPr>
      </w:pPr>
      <w:r>
        <w:rPr>
          <w:rFonts w:hint="eastAsia" w:ascii="黑体" w:hAnsi="黑体" w:eastAsia="黑体"/>
          <w:sz w:val="36"/>
          <w:szCs w:val="32"/>
        </w:rPr>
        <w:t>水利部第二十四届中国专利奖拟推荐专利清单</w:t>
      </w:r>
    </w:p>
    <w:tbl>
      <w:tblPr>
        <w:tblStyle w:val="6"/>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2070"/>
        <w:gridCol w:w="2610"/>
        <w:gridCol w:w="2070"/>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918" w:type="dxa"/>
            <w:vAlign w:val="center"/>
          </w:tcPr>
          <w:p>
            <w:pPr>
              <w:spacing w:line="600" w:lineRule="exact"/>
              <w:jc w:val="center"/>
              <w:rPr>
                <w:rFonts w:ascii="黑体" w:hAnsi="黑体" w:eastAsia="黑体"/>
                <w:sz w:val="30"/>
                <w:szCs w:val="30"/>
              </w:rPr>
            </w:pPr>
            <w:r>
              <w:rPr>
                <w:rFonts w:hint="eastAsia" w:ascii="黑体" w:hAnsi="黑体" w:eastAsia="黑体"/>
                <w:sz w:val="30"/>
                <w:szCs w:val="30"/>
              </w:rPr>
              <w:t>排序</w:t>
            </w:r>
          </w:p>
        </w:tc>
        <w:tc>
          <w:tcPr>
            <w:tcW w:w="2070" w:type="dxa"/>
            <w:vAlign w:val="center"/>
          </w:tcPr>
          <w:p>
            <w:pPr>
              <w:spacing w:line="600" w:lineRule="exact"/>
              <w:jc w:val="center"/>
              <w:rPr>
                <w:rFonts w:ascii="黑体" w:hAnsi="黑体" w:eastAsia="黑体"/>
                <w:sz w:val="30"/>
                <w:szCs w:val="30"/>
              </w:rPr>
            </w:pPr>
            <w:r>
              <w:rPr>
                <w:rFonts w:hint="eastAsia" w:ascii="黑体" w:hAnsi="黑体" w:eastAsia="黑体"/>
                <w:sz w:val="30"/>
                <w:szCs w:val="30"/>
              </w:rPr>
              <w:t>专利号</w:t>
            </w:r>
          </w:p>
        </w:tc>
        <w:tc>
          <w:tcPr>
            <w:tcW w:w="2610" w:type="dxa"/>
            <w:vAlign w:val="center"/>
          </w:tcPr>
          <w:p>
            <w:pPr>
              <w:spacing w:line="600" w:lineRule="exact"/>
              <w:jc w:val="center"/>
              <w:rPr>
                <w:rFonts w:ascii="黑体" w:hAnsi="黑体" w:eastAsia="黑体"/>
                <w:sz w:val="30"/>
                <w:szCs w:val="30"/>
              </w:rPr>
            </w:pPr>
            <w:r>
              <w:rPr>
                <w:rFonts w:hint="eastAsia" w:ascii="黑体" w:hAnsi="黑体" w:eastAsia="黑体"/>
                <w:sz w:val="30"/>
                <w:szCs w:val="30"/>
              </w:rPr>
              <w:t>专利名称</w:t>
            </w:r>
          </w:p>
        </w:tc>
        <w:tc>
          <w:tcPr>
            <w:tcW w:w="2070" w:type="dxa"/>
            <w:vAlign w:val="center"/>
          </w:tcPr>
          <w:p>
            <w:pPr>
              <w:spacing w:line="600" w:lineRule="exact"/>
              <w:jc w:val="center"/>
              <w:rPr>
                <w:rFonts w:ascii="黑体" w:hAnsi="黑体" w:eastAsia="黑体"/>
                <w:sz w:val="30"/>
                <w:szCs w:val="30"/>
              </w:rPr>
            </w:pPr>
            <w:r>
              <w:rPr>
                <w:rFonts w:hint="eastAsia" w:ascii="黑体" w:hAnsi="黑体" w:eastAsia="黑体"/>
                <w:sz w:val="30"/>
                <w:szCs w:val="30"/>
              </w:rPr>
              <w:t>专利权人</w:t>
            </w:r>
          </w:p>
        </w:tc>
        <w:tc>
          <w:tcPr>
            <w:tcW w:w="6840" w:type="dxa"/>
          </w:tcPr>
          <w:p>
            <w:pPr>
              <w:spacing w:line="600" w:lineRule="exact"/>
              <w:jc w:val="center"/>
              <w:rPr>
                <w:rFonts w:ascii="黑体" w:hAnsi="黑体" w:eastAsia="黑体"/>
                <w:sz w:val="30"/>
                <w:szCs w:val="30"/>
              </w:rPr>
            </w:pPr>
            <w:r>
              <w:rPr>
                <w:rFonts w:hint="eastAsia" w:ascii="黑体" w:hAnsi="黑体" w:eastAsia="黑体"/>
                <w:sz w:val="30"/>
                <w:szCs w:val="30"/>
              </w:rPr>
              <w:t>推荐理由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918" w:type="dxa"/>
            <w:vAlign w:val="center"/>
          </w:tcPr>
          <w:p>
            <w:pPr>
              <w:widowControl/>
              <w:spacing w:line="6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1</w:t>
            </w:r>
          </w:p>
        </w:tc>
        <w:tc>
          <w:tcPr>
            <w:tcW w:w="2070" w:type="dxa"/>
            <w:vAlign w:val="center"/>
          </w:tcPr>
          <w:p>
            <w:pPr>
              <w:widowControl/>
              <w:spacing w:line="600" w:lineRule="exact"/>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ZL201810678114.X</w:t>
            </w:r>
          </w:p>
        </w:tc>
        <w:tc>
          <w:tcPr>
            <w:tcW w:w="2610" w:type="dxa"/>
            <w:vAlign w:val="center"/>
          </w:tcPr>
          <w:p>
            <w:pPr>
              <w:widowControl/>
              <w:spacing w:line="600" w:lineRule="exact"/>
              <w:jc w:val="left"/>
              <w:rPr>
                <w:rFonts w:ascii="仿宋_GB2312" w:eastAsia="仿宋_GB2312"/>
                <w:color w:val="000000"/>
                <w:sz w:val="28"/>
                <w:szCs w:val="28"/>
              </w:rPr>
            </w:pPr>
            <w:r>
              <w:rPr>
                <w:rFonts w:hint="eastAsia" w:ascii="仿宋_GB2312" w:eastAsia="仿宋_GB2312"/>
                <w:color w:val="000000"/>
                <w:sz w:val="28"/>
                <w:szCs w:val="28"/>
              </w:rPr>
              <w:t>一种抗气蚀抗冲蚀的纳米碳化物增强碳化钨基复合粉末、涂层及其制备方法</w:t>
            </w:r>
          </w:p>
        </w:tc>
        <w:tc>
          <w:tcPr>
            <w:tcW w:w="2070" w:type="dxa"/>
            <w:vAlign w:val="center"/>
          </w:tcPr>
          <w:p>
            <w:pPr>
              <w:widowControl/>
              <w:spacing w:line="600" w:lineRule="exact"/>
              <w:jc w:val="left"/>
              <w:rPr>
                <w:rFonts w:ascii="仿宋_GB2312" w:eastAsia="仿宋_GB2312"/>
                <w:color w:val="000000"/>
                <w:sz w:val="28"/>
                <w:szCs w:val="28"/>
              </w:rPr>
            </w:pPr>
            <w:r>
              <w:rPr>
                <w:rFonts w:hint="eastAsia" w:ascii="仿宋_GB2312" w:eastAsia="仿宋_GB2312"/>
                <w:color w:val="000000"/>
                <w:sz w:val="28"/>
                <w:szCs w:val="28"/>
              </w:rPr>
              <w:t>水利部杭州机械设计研究所</w:t>
            </w:r>
          </w:p>
        </w:tc>
        <w:tc>
          <w:tcPr>
            <w:tcW w:w="6840" w:type="dxa"/>
            <w:vAlign w:val="center"/>
          </w:tcPr>
          <w:p>
            <w:pPr>
              <w:widowControl/>
              <w:spacing w:after="0" w:line="300" w:lineRule="exact"/>
              <w:ind w:firstLine="420" w:firstLineChars="200"/>
              <w:jc w:val="both"/>
              <w:rPr>
                <w:rFonts w:ascii="仿宋_GB2312" w:eastAsia="仿宋_GB2312"/>
                <w:color w:val="000000"/>
                <w:szCs w:val="21"/>
              </w:rPr>
            </w:pPr>
            <w:r>
              <w:rPr>
                <w:rFonts w:hint="eastAsia" w:ascii="仿宋_GB2312" w:eastAsia="仿宋_GB2312"/>
                <w:color w:val="000000"/>
                <w:szCs w:val="21"/>
              </w:rPr>
              <w:t>参评专利针对现有碳化钨基金属陶瓷涂层技术的不足，提供了一种抗气蚀抗冲蚀的纳米碳化物增强碳化钨基复合粉末、涂层及其制备方法，在兼顾良好抗疲劳、抗腐蚀、抗磨损性能的同时，提高设备的抗气蚀抗冲蚀性能</w:t>
            </w:r>
            <w:r>
              <w:rPr>
                <w:rFonts w:ascii="仿宋_GB2312" w:eastAsia="仿宋_GB2312"/>
                <w:color w:val="000000"/>
                <w:szCs w:val="21"/>
              </w:rPr>
              <w:t>，</w:t>
            </w:r>
            <w:r>
              <w:rPr>
                <w:rFonts w:hint="eastAsia" w:ascii="仿宋_GB2312" w:eastAsia="仿宋_GB2312"/>
                <w:color w:val="000000"/>
                <w:szCs w:val="21"/>
              </w:rPr>
              <w:t>大幅延长了水力装备的使用寿命，保障了水利水电工程的运行安全。目前，已经在小浪底水利枢纽工程、万家寨水电站等国内外大型水利水电工程中实现产业化应用，获得较好的经济、社会和环境效益。此外，参评专利属于“卡脖子”技术领域，打破了国外产品在中国高端碳化钨基复合材料市场的垄断，有效推动了我国水利水电工程和水力装备行业的技术进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9" w:hRule="atLeast"/>
        </w:trPr>
        <w:tc>
          <w:tcPr>
            <w:tcW w:w="918" w:type="dxa"/>
            <w:vAlign w:val="center"/>
          </w:tcPr>
          <w:p>
            <w:pPr>
              <w:widowControl/>
              <w:spacing w:line="6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2</w:t>
            </w:r>
          </w:p>
        </w:tc>
        <w:tc>
          <w:tcPr>
            <w:tcW w:w="2070" w:type="dxa"/>
            <w:vAlign w:val="center"/>
          </w:tcPr>
          <w:p>
            <w:pPr>
              <w:widowControl/>
              <w:spacing w:line="600" w:lineRule="exact"/>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ZL201910270832.8</w:t>
            </w:r>
          </w:p>
        </w:tc>
        <w:tc>
          <w:tcPr>
            <w:tcW w:w="2610" w:type="dxa"/>
            <w:vAlign w:val="center"/>
          </w:tcPr>
          <w:p>
            <w:pPr>
              <w:widowControl/>
              <w:spacing w:line="600" w:lineRule="exact"/>
              <w:jc w:val="left"/>
              <w:rPr>
                <w:rFonts w:ascii="仿宋_GB2312" w:eastAsia="仿宋_GB2312"/>
                <w:color w:val="000000"/>
                <w:sz w:val="28"/>
                <w:szCs w:val="28"/>
              </w:rPr>
            </w:pPr>
            <w:r>
              <w:rPr>
                <w:rFonts w:hint="eastAsia" w:ascii="仿宋_GB2312" w:eastAsia="仿宋_GB2312"/>
                <w:color w:val="000000"/>
                <w:sz w:val="28"/>
                <w:szCs w:val="28"/>
              </w:rPr>
              <w:t>基于极限分析下限定理的三维边坡安全系数迭代求解方法</w:t>
            </w:r>
          </w:p>
        </w:tc>
        <w:tc>
          <w:tcPr>
            <w:tcW w:w="2070" w:type="dxa"/>
            <w:vAlign w:val="center"/>
          </w:tcPr>
          <w:p>
            <w:pPr>
              <w:widowControl/>
              <w:spacing w:line="600" w:lineRule="exact"/>
              <w:jc w:val="left"/>
              <w:rPr>
                <w:rFonts w:ascii="仿宋_GB2312" w:eastAsia="仿宋_GB2312"/>
                <w:color w:val="000000"/>
                <w:sz w:val="28"/>
                <w:szCs w:val="28"/>
              </w:rPr>
            </w:pPr>
            <w:r>
              <w:rPr>
                <w:rFonts w:hint="eastAsia" w:ascii="仿宋_GB2312" w:eastAsia="仿宋_GB2312"/>
                <w:color w:val="000000"/>
                <w:sz w:val="28"/>
                <w:szCs w:val="28"/>
              </w:rPr>
              <w:t>中国水利水电科学研究院</w:t>
            </w:r>
          </w:p>
        </w:tc>
        <w:tc>
          <w:tcPr>
            <w:tcW w:w="6840" w:type="dxa"/>
            <w:vAlign w:val="center"/>
          </w:tcPr>
          <w:p>
            <w:pPr>
              <w:adjustRightInd w:val="0"/>
              <w:snapToGrid w:val="0"/>
              <w:spacing w:after="0" w:line="300" w:lineRule="exact"/>
              <w:ind w:firstLine="420" w:firstLineChars="200"/>
              <w:jc w:val="both"/>
              <w:rPr>
                <w:rFonts w:ascii="仿宋_GB2312" w:eastAsia="仿宋_GB2312"/>
                <w:color w:val="000000"/>
                <w:sz w:val="28"/>
                <w:szCs w:val="28"/>
              </w:rPr>
            </w:pPr>
            <w:r>
              <w:rPr>
                <w:rFonts w:hint="eastAsia" w:ascii="仿宋_GB2312" w:eastAsia="仿宋_GB2312"/>
                <w:color w:val="000000"/>
                <w:szCs w:val="21"/>
              </w:rPr>
              <w:t>边坡稳定分析方法是岩土力学的经典研究问题之一，也是工程界和学术界关注的热点。针对这一经典和热点问题，参评专利提出了一种基于极限分析下限定理的三维边坡安全系数求解方法，这一全新方法在不引入任何假定的前提下建立了三维边坡稳定分析优化数学模型，使边坡稳定分析方法具备了更为严密的理论基础；同时创造性提出了一种基于约束方程降维数学处理和逻辑判断迭代的复杂优化数学模型的高效求解技术，并在此基础上研发了具有自主知识产权的边坡稳定分析软件。该方法破解了长期困扰传统方法的瓶颈难题，在三维边坡稳定分析领域实现了新的突破，相关分析方法和软件已在实际工程中得到广泛应用，对学科发展和行业技术进步具有重要的推动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18" w:type="dxa"/>
            <w:vAlign w:val="center"/>
          </w:tcPr>
          <w:p>
            <w:pPr>
              <w:widowControl/>
              <w:spacing w:line="6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3</w:t>
            </w:r>
          </w:p>
        </w:tc>
        <w:tc>
          <w:tcPr>
            <w:tcW w:w="2070" w:type="dxa"/>
            <w:vAlign w:val="center"/>
          </w:tcPr>
          <w:p>
            <w:pPr>
              <w:widowControl/>
              <w:spacing w:line="600" w:lineRule="exact"/>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ZL201410568215.3</w:t>
            </w:r>
          </w:p>
        </w:tc>
        <w:tc>
          <w:tcPr>
            <w:tcW w:w="2610" w:type="dxa"/>
            <w:vAlign w:val="center"/>
          </w:tcPr>
          <w:p>
            <w:pPr>
              <w:widowControl/>
              <w:spacing w:line="600" w:lineRule="exact"/>
              <w:jc w:val="left"/>
              <w:rPr>
                <w:rFonts w:ascii="仿宋_GB2312" w:eastAsia="仿宋_GB2312"/>
                <w:color w:val="000000"/>
                <w:sz w:val="28"/>
                <w:szCs w:val="28"/>
              </w:rPr>
            </w:pPr>
            <w:r>
              <w:rPr>
                <w:rFonts w:hint="eastAsia" w:ascii="仿宋_GB2312" w:eastAsia="仿宋_GB2312"/>
                <w:color w:val="000000"/>
                <w:sz w:val="28"/>
                <w:szCs w:val="28"/>
              </w:rPr>
              <w:t>半圆筒型调压室</w:t>
            </w:r>
          </w:p>
        </w:tc>
        <w:tc>
          <w:tcPr>
            <w:tcW w:w="2070" w:type="dxa"/>
            <w:vAlign w:val="center"/>
          </w:tcPr>
          <w:p>
            <w:pPr>
              <w:widowControl/>
              <w:spacing w:line="600" w:lineRule="exact"/>
              <w:jc w:val="left"/>
              <w:rPr>
                <w:rFonts w:ascii="仿宋_GB2312" w:eastAsia="仿宋_GB2312"/>
                <w:color w:val="000000"/>
                <w:sz w:val="28"/>
                <w:szCs w:val="28"/>
              </w:rPr>
            </w:pPr>
            <w:r>
              <w:rPr>
                <w:rFonts w:hint="eastAsia" w:ascii="仿宋_GB2312" w:eastAsia="仿宋_GB2312"/>
                <w:color w:val="000000"/>
                <w:sz w:val="28"/>
                <w:szCs w:val="28"/>
              </w:rPr>
              <w:t>长江勘测规划设计研究有限责任公司</w:t>
            </w:r>
          </w:p>
        </w:tc>
        <w:tc>
          <w:tcPr>
            <w:tcW w:w="6840" w:type="dxa"/>
            <w:vAlign w:val="center"/>
          </w:tcPr>
          <w:p>
            <w:pPr>
              <w:widowControl/>
              <w:spacing w:after="0" w:line="300" w:lineRule="exact"/>
              <w:ind w:firstLine="418"/>
              <w:jc w:val="both"/>
              <w:rPr>
                <w:rFonts w:ascii="仿宋_GB2312" w:eastAsia="仿宋_GB2312"/>
                <w:color w:val="000000"/>
                <w:sz w:val="28"/>
                <w:szCs w:val="28"/>
              </w:rPr>
            </w:pPr>
            <w:r>
              <w:rPr>
                <w:rFonts w:hint="eastAsia" w:ascii="仿宋_GB2312" w:eastAsia="仿宋_GB2312"/>
                <w:color w:val="000000"/>
                <w:szCs w:val="21"/>
              </w:rPr>
              <w:t>针对常规调压室受结构限制、整体占用空间较大、体型不利于洞室结构稳定的缺点，参评专利发明采用半圆筒型式。集常规调压室优点于一身，既可将闸门布置于调压室内，其体型又有利于洞室结构的稳定，尤其适用于空间位置受限的复杂地质条件下的调压室布置，其弧形结构具备良好的受力条件。可广</w:t>
            </w:r>
            <w:bookmarkStart w:id="0" w:name="_GoBack"/>
            <w:bookmarkEnd w:id="0"/>
            <w:r>
              <w:rPr>
                <w:rFonts w:hint="eastAsia" w:ascii="仿宋_GB2312" w:eastAsia="仿宋_GB2312"/>
                <w:color w:val="000000"/>
                <w:szCs w:val="21"/>
              </w:rPr>
              <w:t>泛适用于长距离引调水工程、地下水电站、泵站以及抽蓄水能电站的水击压强调节、平稳水压。参评专利已成功运用于乌东德水电站的引水发电系统的布置中，节约工期4个月，直接经济效益约2686.27万元。专利相关成果被多位院士专家评为国际领先，极大推动了地下工程勘察设计领域技术进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18" w:type="dxa"/>
            <w:vAlign w:val="center"/>
          </w:tcPr>
          <w:p>
            <w:pPr>
              <w:widowControl/>
              <w:spacing w:line="6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4</w:t>
            </w:r>
          </w:p>
        </w:tc>
        <w:tc>
          <w:tcPr>
            <w:tcW w:w="2070" w:type="dxa"/>
            <w:vAlign w:val="center"/>
          </w:tcPr>
          <w:p>
            <w:pPr>
              <w:widowControl/>
              <w:spacing w:line="600" w:lineRule="exact"/>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ZL201910957687.0</w:t>
            </w:r>
          </w:p>
        </w:tc>
        <w:tc>
          <w:tcPr>
            <w:tcW w:w="2610" w:type="dxa"/>
            <w:vAlign w:val="center"/>
          </w:tcPr>
          <w:p>
            <w:pPr>
              <w:widowControl/>
              <w:spacing w:line="600" w:lineRule="exact"/>
              <w:jc w:val="left"/>
              <w:rPr>
                <w:rFonts w:ascii="仿宋_GB2312" w:eastAsia="仿宋_GB2312"/>
                <w:color w:val="000000"/>
                <w:sz w:val="28"/>
                <w:szCs w:val="28"/>
              </w:rPr>
            </w:pPr>
            <w:r>
              <w:rPr>
                <w:rFonts w:hint="eastAsia" w:ascii="仿宋_GB2312" w:eastAsia="仿宋_GB2312"/>
                <w:color w:val="000000"/>
                <w:sz w:val="28"/>
                <w:szCs w:val="28"/>
              </w:rPr>
              <w:t>隔离式一体化高精度液位测量设备及液位测量方法</w:t>
            </w:r>
          </w:p>
        </w:tc>
        <w:tc>
          <w:tcPr>
            <w:tcW w:w="2070" w:type="dxa"/>
            <w:vAlign w:val="center"/>
          </w:tcPr>
          <w:p>
            <w:pPr>
              <w:widowControl/>
              <w:spacing w:line="600" w:lineRule="exact"/>
              <w:jc w:val="left"/>
              <w:rPr>
                <w:rFonts w:ascii="仿宋_GB2312" w:eastAsia="仿宋_GB2312"/>
                <w:color w:val="000000"/>
                <w:sz w:val="28"/>
                <w:szCs w:val="28"/>
              </w:rPr>
            </w:pPr>
            <w:r>
              <w:rPr>
                <w:rFonts w:hint="eastAsia" w:ascii="仿宋_GB2312" w:eastAsia="仿宋_GB2312"/>
                <w:color w:val="000000"/>
                <w:sz w:val="28"/>
                <w:szCs w:val="28"/>
              </w:rPr>
              <w:t>珠江水利委员会珠江水利科学研究院</w:t>
            </w:r>
          </w:p>
        </w:tc>
        <w:tc>
          <w:tcPr>
            <w:tcW w:w="6840" w:type="dxa"/>
            <w:vAlign w:val="center"/>
          </w:tcPr>
          <w:p>
            <w:pPr>
              <w:adjustRightInd w:val="0"/>
              <w:snapToGrid w:val="0"/>
              <w:spacing w:after="0" w:line="300" w:lineRule="exact"/>
              <w:ind w:firstLine="420" w:firstLineChars="200"/>
              <w:jc w:val="both"/>
              <w:rPr>
                <w:rFonts w:ascii="仿宋_GB2312" w:eastAsia="仿宋_GB2312"/>
                <w:color w:val="000000"/>
                <w:szCs w:val="21"/>
              </w:rPr>
            </w:pPr>
            <w:r>
              <w:rPr>
                <w:rFonts w:hint="eastAsia" w:ascii="仿宋_GB2312" w:eastAsia="仿宋_GB2312"/>
                <w:color w:val="000000"/>
                <w:szCs w:val="21"/>
              </w:rPr>
              <w:t>参评专利突破了传统立杆式内涝监测站占地面积大、运维难度高、无法大规模布设的弊端，采用一体化设计与无外露触点的隔离式测量方式，适用于多种城市内涝积水监测场景，属于水利信息化技术领域。参评专利涉及的设备是目前行业体积最小、应用范围最广、知名度最高，南方地区应用数量最多的一体化高精度液位测量设备，为高密度城市内涝监测提供新的解决方案，开创内涝监测场景快捷智能化的先河。设备及技术为广州、深圳、武汉等大城市的水务、电力、交通等重要行业提供内涝防御技术服务，应对了多场暴雨内涝事件。相关成果获得大禹水利科学技术奖一等奖，入选水利先进实用技术推广目录，在行业内得到一致认可和广泛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18" w:type="dxa"/>
            <w:vAlign w:val="center"/>
          </w:tcPr>
          <w:p>
            <w:pPr>
              <w:widowControl/>
              <w:spacing w:line="60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5</w:t>
            </w:r>
          </w:p>
        </w:tc>
        <w:tc>
          <w:tcPr>
            <w:tcW w:w="2070" w:type="dxa"/>
            <w:vAlign w:val="center"/>
          </w:tcPr>
          <w:p>
            <w:pPr>
              <w:widowControl/>
              <w:spacing w:line="600" w:lineRule="exact"/>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ZL201710126780.8</w:t>
            </w:r>
          </w:p>
        </w:tc>
        <w:tc>
          <w:tcPr>
            <w:tcW w:w="2610" w:type="dxa"/>
            <w:vAlign w:val="center"/>
          </w:tcPr>
          <w:p>
            <w:pPr>
              <w:widowControl/>
              <w:spacing w:line="600" w:lineRule="exact"/>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一种利用探地雷达检测堆石体密实度的检测方法</w:t>
            </w:r>
          </w:p>
        </w:tc>
        <w:tc>
          <w:tcPr>
            <w:tcW w:w="2070" w:type="dxa"/>
            <w:vAlign w:val="center"/>
          </w:tcPr>
          <w:p>
            <w:pPr>
              <w:widowControl/>
              <w:spacing w:line="600" w:lineRule="exact"/>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水利部交通运输部国家能源局南京水利科学研究院</w:t>
            </w:r>
          </w:p>
        </w:tc>
        <w:tc>
          <w:tcPr>
            <w:tcW w:w="6840" w:type="dxa"/>
            <w:vAlign w:val="center"/>
          </w:tcPr>
          <w:p>
            <w:pPr>
              <w:adjustRightInd w:val="0"/>
              <w:snapToGrid w:val="0"/>
              <w:spacing w:after="0" w:line="300" w:lineRule="exact"/>
              <w:ind w:firstLine="420" w:firstLineChars="200"/>
              <w:jc w:val="both"/>
              <w:rPr>
                <w:rFonts w:ascii="仿宋_GB2312" w:eastAsia="仿宋_GB2312"/>
                <w:color w:val="000000"/>
                <w:szCs w:val="21"/>
              </w:rPr>
            </w:pPr>
            <w:r>
              <w:rPr>
                <w:rFonts w:hint="eastAsia" w:ascii="仿宋_GB2312" w:eastAsia="仿宋_GB2312"/>
                <w:color w:val="000000"/>
                <w:szCs w:val="21"/>
              </w:rPr>
              <w:t>堤坝隐伏病险“探不准、预警难、响应慢”一直是水安全领域“卡脖子”难题。人工巡检效率低、准确性差，尚无定量解译堤坝隐伏病险的参考指标。参评专利发明的堤坝密实度快速无损检测技术和评价标准，实现了堤坝隐伏病险准确辨识与灾害快速识别，支撑了“土质堤坝病害真实模拟与快速识别及险情处置关键技术”成果获2021年度江苏省科学技术二等奖。同时应用于黄河流域水闸工程安全诊断，支撑了“重大水闸工程安全诊断及性能提升关键技术与应用”成果获2021年度水利部大禹水利科技进步二等奖等。目前该项技术广泛应用于南水北调等重大水利工程的日常隐患巡检、汛期险情处置等</w:t>
            </w:r>
          </w:p>
        </w:tc>
      </w:tr>
    </w:tbl>
    <w:p>
      <w:pPr>
        <w:adjustRightInd w:val="0"/>
        <w:snapToGrid w:val="0"/>
        <w:spacing w:after="60" w:line="480" w:lineRule="exact"/>
        <w:ind w:firstLine="420" w:firstLineChars="200"/>
        <w:jc w:val="left"/>
        <w:rPr>
          <w:rFonts w:ascii="仿宋_GB2312" w:eastAsia="仿宋_GB2312"/>
          <w:color w:val="000000"/>
          <w:szCs w:val="21"/>
        </w:rPr>
      </w:pPr>
    </w:p>
    <w:sectPr>
      <w:footerReference r:id="rId5" w:type="default"/>
      <w:pgSz w:w="16838" w:h="11906" w:orient="landscape"/>
      <w:pgMar w:top="1587" w:right="1440" w:bottom="1587"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true"/>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22F4A"/>
    <w:rsid w:val="00072A35"/>
    <w:rsid w:val="00096BFC"/>
    <w:rsid w:val="000E1726"/>
    <w:rsid w:val="00142C22"/>
    <w:rsid w:val="00144575"/>
    <w:rsid w:val="00145010"/>
    <w:rsid w:val="00162CAF"/>
    <w:rsid w:val="00187189"/>
    <w:rsid w:val="0021626B"/>
    <w:rsid w:val="002D67EB"/>
    <w:rsid w:val="00322F4A"/>
    <w:rsid w:val="004A494E"/>
    <w:rsid w:val="004E3426"/>
    <w:rsid w:val="00525691"/>
    <w:rsid w:val="00652DBA"/>
    <w:rsid w:val="006577A8"/>
    <w:rsid w:val="0069251F"/>
    <w:rsid w:val="006F1D1D"/>
    <w:rsid w:val="007429C2"/>
    <w:rsid w:val="00777065"/>
    <w:rsid w:val="007C3A95"/>
    <w:rsid w:val="008A4A3B"/>
    <w:rsid w:val="008C005F"/>
    <w:rsid w:val="00920280"/>
    <w:rsid w:val="00AA1AEE"/>
    <w:rsid w:val="00AB1451"/>
    <w:rsid w:val="00AE6FBD"/>
    <w:rsid w:val="00B54ACB"/>
    <w:rsid w:val="00C531F3"/>
    <w:rsid w:val="00C544E5"/>
    <w:rsid w:val="00C91B9A"/>
    <w:rsid w:val="00CA01A3"/>
    <w:rsid w:val="00CC78AC"/>
    <w:rsid w:val="00CF67BF"/>
    <w:rsid w:val="00D341C2"/>
    <w:rsid w:val="00DB7158"/>
    <w:rsid w:val="00E07195"/>
    <w:rsid w:val="00E6398B"/>
    <w:rsid w:val="00EE51F9"/>
    <w:rsid w:val="00F4223C"/>
    <w:rsid w:val="00F62842"/>
    <w:rsid w:val="00F7048F"/>
    <w:rsid w:val="00F939E4"/>
    <w:rsid w:val="0935663D"/>
    <w:rsid w:val="0BD45549"/>
    <w:rsid w:val="0FEA7D0F"/>
    <w:rsid w:val="10472D65"/>
    <w:rsid w:val="137A5FEF"/>
    <w:rsid w:val="1B6D6C14"/>
    <w:rsid w:val="24815326"/>
    <w:rsid w:val="2AA20A81"/>
    <w:rsid w:val="41022DE6"/>
    <w:rsid w:val="41952157"/>
    <w:rsid w:val="4C7C6B82"/>
    <w:rsid w:val="52526F63"/>
    <w:rsid w:val="553406FF"/>
    <w:rsid w:val="57FBC125"/>
    <w:rsid w:val="583D71FD"/>
    <w:rsid w:val="608E1418"/>
    <w:rsid w:val="635D42AC"/>
    <w:rsid w:val="6EDB7BD8"/>
    <w:rsid w:val="6FD71F38"/>
    <w:rsid w:val="6FEE254B"/>
    <w:rsid w:val="74EEA3E9"/>
    <w:rsid w:val="74F6719E"/>
    <w:rsid w:val="7BFEE7BD"/>
    <w:rsid w:val="7DFCC3DE"/>
    <w:rsid w:val="7E410CD7"/>
    <w:rsid w:val="7F549CC5"/>
    <w:rsid w:val="9EF7595D"/>
    <w:rsid w:val="B77C8FEA"/>
    <w:rsid w:val="CBEF3946"/>
    <w:rsid w:val="E7A73849"/>
    <w:rsid w:val="F9F30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after="0" w:line="240" w:lineRule="auto"/>
    </w:pPr>
    <w:rPr>
      <w:rFonts w:ascii="宋体" w:eastAsia="宋体"/>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rFonts w:ascii="宋体" w:eastAsia="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256</Words>
  <Characters>1465</Characters>
  <Lines>12</Lines>
  <Paragraphs>3</Paragraphs>
  <TotalTime>3</TotalTime>
  <ScaleCrop>false</ScaleCrop>
  <LinksUpToDate>false</LinksUpToDate>
  <CharactersWithSpaces>1718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2019-05-22T08:39:00Z</dcterms:created>
  <dc:creator>1</dc:creator>
  <cp:lastModifiedBy>Y</cp:lastModifiedBy>
  <cp:lastPrinted>2022-10-25T00:05:00Z</cp:lastPrinted>
  <dcterms:modified xsi:type="dcterms:W3CDTF">2022-10-25T18:57:53Z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D4B70E4672D0435FA0BF0007B6A4978F</vt:lpwstr>
  </property>
</Properties>
</file>