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E4" w:rsidRDefault="00CC6DE4" w:rsidP="00CC6DE4">
      <w:pPr>
        <w:spacing w:line="600" w:lineRule="exact"/>
        <w:rPr>
          <w:rFonts w:ascii="黑体" w:eastAsia="黑体" w:hAnsi="黑体"/>
          <w:sz w:val="32"/>
          <w:szCs w:val="32"/>
        </w:rPr>
      </w:pPr>
      <w:bookmarkStart w:id="0" w:name="_GoBack"/>
      <w:bookmarkEnd w:id="0"/>
      <w:r>
        <w:rPr>
          <w:rFonts w:ascii="黑体" w:eastAsia="黑体" w:hAnsi="黑体" w:hint="eastAsia"/>
          <w:sz w:val="32"/>
          <w:szCs w:val="32"/>
        </w:rPr>
        <w:t>附件</w:t>
      </w:r>
    </w:p>
    <w:p w:rsidR="00CC6DE4" w:rsidRDefault="00CC6DE4" w:rsidP="00CC6DE4">
      <w:pPr>
        <w:spacing w:afterLines="50" w:after="156"/>
        <w:jc w:val="center"/>
        <w:rPr>
          <w:rFonts w:ascii="方正小标宋简体" w:eastAsia="方正小标宋简体" w:hAnsi="方正小标宋简体" w:cs="方正小标宋简体"/>
          <w:sz w:val="36"/>
          <w:szCs w:val="32"/>
        </w:rPr>
      </w:pPr>
      <w:r>
        <w:rPr>
          <w:rFonts w:ascii="方正小标宋简体" w:eastAsia="方正小标宋简体" w:hAnsi="方正小标宋简体" w:cs="方正小标宋简体" w:hint="eastAsia"/>
          <w:sz w:val="36"/>
          <w:szCs w:val="32"/>
        </w:rPr>
        <w:t>水利部第二十五届中国专利奖拟推荐专利名单</w:t>
      </w:r>
    </w:p>
    <w:tbl>
      <w:tblPr>
        <w:tblStyle w:val="a6"/>
        <w:tblW w:w="14702" w:type="dxa"/>
        <w:tblLayout w:type="fixed"/>
        <w:tblLook w:val="04A0" w:firstRow="1" w:lastRow="0" w:firstColumn="1" w:lastColumn="0" w:noHBand="0" w:noVBand="1"/>
      </w:tblPr>
      <w:tblGrid>
        <w:gridCol w:w="918"/>
        <w:gridCol w:w="2192"/>
        <w:gridCol w:w="2488"/>
        <w:gridCol w:w="2070"/>
        <w:gridCol w:w="7034"/>
      </w:tblGrid>
      <w:tr w:rsidR="00CC6DE4" w:rsidTr="0005088D">
        <w:trPr>
          <w:cantSplit/>
          <w:trHeight w:val="726"/>
        </w:trPr>
        <w:tc>
          <w:tcPr>
            <w:tcW w:w="918" w:type="dxa"/>
            <w:vAlign w:val="center"/>
          </w:tcPr>
          <w:p w:rsidR="00CC6DE4" w:rsidRDefault="00CC6DE4" w:rsidP="0005088D">
            <w:pPr>
              <w:spacing w:after="0" w:line="400" w:lineRule="exact"/>
              <w:jc w:val="center"/>
              <w:rPr>
                <w:rFonts w:ascii="黑体" w:eastAsia="黑体" w:hAnsi="黑体"/>
                <w:sz w:val="30"/>
                <w:szCs w:val="30"/>
              </w:rPr>
            </w:pPr>
            <w:r>
              <w:rPr>
                <w:rFonts w:ascii="黑体" w:eastAsia="黑体" w:hAnsi="黑体" w:hint="eastAsia"/>
                <w:sz w:val="30"/>
                <w:szCs w:val="30"/>
              </w:rPr>
              <w:t>排序</w:t>
            </w:r>
          </w:p>
        </w:tc>
        <w:tc>
          <w:tcPr>
            <w:tcW w:w="2192" w:type="dxa"/>
            <w:vAlign w:val="center"/>
          </w:tcPr>
          <w:p w:rsidR="00CC6DE4" w:rsidRDefault="00CC6DE4" w:rsidP="0005088D">
            <w:pPr>
              <w:spacing w:after="0" w:line="400" w:lineRule="exact"/>
              <w:jc w:val="center"/>
              <w:rPr>
                <w:rFonts w:ascii="黑体" w:eastAsia="黑体" w:hAnsi="黑体"/>
                <w:sz w:val="30"/>
                <w:szCs w:val="30"/>
              </w:rPr>
            </w:pPr>
            <w:r>
              <w:rPr>
                <w:rFonts w:ascii="黑体" w:eastAsia="黑体" w:hAnsi="黑体" w:hint="eastAsia"/>
                <w:sz w:val="30"/>
                <w:szCs w:val="30"/>
              </w:rPr>
              <w:t>专利号</w:t>
            </w:r>
          </w:p>
        </w:tc>
        <w:tc>
          <w:tcPr>
            <w:tcW w:w="2488" w:type="dxa"/>
            <w:vAlign w:val="center"/>
          </w:tcPr>
          <w:p w:rsidR="00CC6DE4" w:rsidRDefault="00CC6DE4" w:rsidP="0005088D">
            <w:pPr>
              <w:spacing w:after="0" w:line="400" w:lineRule="exact"/>
              <w:jc w:val="center"/>
              <w:rPr>
                <w:rFonts w:ascii="黑体" w:eastAsia="黑体" w:hAnsi="黑体"/>
                <w:sz w:val="30"/>
                <w:szCs w:val="30"/>
              </w:rPr>
            </w:pPr>
            <w:r>
              <w:rPr>
                <w:rFonts w:ascii="黑体" w:eastAsia="黑体" w:hAnsi="黑体" w:hint="eastAsia"/>
                <w:sz w:val="30"/>
                <w:szCs w:val="30"/>
              </w:rPr>
              <w:t>专利名称</w:t>
            </w:r>
          </w:p>
        </w:tc>
        <w:tc>
          <w:tcPr>
            <w:tcW w:w="2070" w:type="dxa"/>
            <w:vAlign w:val="center"/>
          </w:tcPr>
          <w:p w:rsidR="00CC6DE4" w:rsidRDefault="00CC6DE4" w:rsidP="0005088D">
            <w:pPr>
              <w:spacing w:after="0" w:line="400" w:lineRule="exact"/>
              <w:jc w:val="center"/>
              <w:rPr>
                <w:rFonts w:ascii="黑体" w:eastAsia="黑体" w:hAnsi="黑体"/>
                <w:sz w:val="30"/>
                <w:szCs w:val="30"/>
              </w:rPr>
            </w:pPr>
            <w:r>
              <w:rPr>
                <w:rFonts w:ascii="黑体" w:eastAsia="黑体" w:hAnsi="黑体" w:hint="eastAsia"/>
                <w:sz w:val="30"/>
                <w:szCs w:val="30"/>
              </w:rPr>
              <w:t>专利权人</w:t>
            </w:r>
          </w:p>
        </w:tc>
        <w:tc>
          <w:tcPr>
            <w:tcW w:w="7034" w:type="dxa"/>
            <w:vAlign w:val="center"/>
          </w:tcPr>
          <w:p w:rsidR="00CC6DE4" w:rsidRDefault="00CC6DE4" w:rsidP="0005088D">
            <w:pPr>
              <w:spacing w:after="0" w:line="400" w:lineRule="exact"/>
              <w:jc w:val="center"/>
              <w:rPr>
                <w:rFonts w:ascii="黑体" w:eastAsia="黑体" w:hAnsi="黑体"/>
                <w:sz w:val="30"/>
                <w:szCs w:val="30"/>
              </w:rPr>
            </w:pPr>
            <w:r>
              <w:rPr>
                <w:rFonts w:ascii="黑体" w:eastAsia="黑体" w:hAnsi="黑体" w:hint="eastAsia"/>
                <w:sz w:val="30"/>
                <w:szCs w:val="30"/>
              </w:rPr>
              <w:t>推荐理由</w:t>
            </w:r>
          </w:p>
        </w:tc>
      </w:tr>
      <w:tr w:rsidR="00CC6DE4" w:rsidTr="0005088D">
        <w:trPr>
          <w:cantSplit/>
          <w:trHeight w:val="5696"/>
        </w:trPr>
        <w:tc>
          <w:tcPr>
            <w:tcW w:w="918" w:type="dxa"/>
            <w:vAlign w:val="center"/>
          </w:tcPr>
          <w:p w:rsidR="00CC6DE4" w:rsidRDefault="00CC6DE4" w:rsidP="0005088D">
            <w:pPr>
              <w:spacing w:after="0" w:line="400" w:lineRule="exact"/>
              <w:jc w:val="center"/>
              <w:rPr>
                <w:rFonts w:ascii="黑体" w:eastAsia="黑体" w:hAnsi="黑体"/>
                <w:sz w:val="30"/>
                <w:szCs w:val="30"/>
              </w:rPr>
            </w:pPr>
            <w:r>
              <w:rPr>
                <w:rFonts w:ascii="仿宋_GB2312" w:eastAsia="仿宋_GB2312" w:hAnsi="仿宋_GB2312" w:cs="仿宋_GB2312" w:hint="eastAsia"/>
                <w:kern w:val="0"/>
                <w:sz w:val="24"/>
                <w:szCs w:val="24"/>
                <w:lang w:bidi="ar"/>
              </w:rPr>
              <w:t>1</w:t>
            </w:r>
          </w:p>
        </w:tc>
        <w:tc>
          <w:tcPr>
            <w:tcW w:w="2192" w:type="dxa"/>
            <w:vAlign w:val="center"/>
          </w:tcPr>
          <w:p w:rsidR="00CC6DE4" w:rsidRDefault="00CC6DE4" w:rsidP="0005088D">
            <w:pPr>
              <w:spacing w:line="400" w:lineRule="exact"/>
              <w:rPr>
                <w:rFonts w:ascii="黑体" w:eastAsia="黑体" w:hAnsi="黑体"/>
                <w:sz w:val="30"/>
                <w:szCs w:val="30"/>
              </w:rPr>
            </w:pPr>
            <w:r>
              <w:rPr>
                <w:rFonts w:ascii="仿宋_GB2312" w:eastAsia="仿宋_GB2312" w:hAnsi="仿宋_GB2312" w:cs="仿宋_GB2312" w:hint="eastAsia"/>
                <w:kern w:val="0"/>
                <w:sz w:val="24"/>
                <w:szCs w:val="24"/>
                <w:lang w:bidi="ar"/>
              </w:rPr>
              <w:t>ZL202110199433.4</w:t>
            </w:r>
          </w:p>
        </w:tc>
        <w:tc>
          <w:tcPr>
            <w:tcW w:w="2488" w:type="dxa"/>
            <w:vAlign w:val="center"/>
          </w:tcPr>
          <w:p w:rsidR="00CC6DE4" w:rsidRDefault="00CC6DE4" w:rsidP="00915CB3">
            <w:pPr>
              <w:spacing w:line="400" w:lineRule="exact"/>
              <w:jc w:val="both"/>
              <w:textAlignment w:val="center"/>
              <w:rPr>
                <w:rFonts w:ascii="黑体" w:eastAsia="黑体" w:hAnsi="黑体"/>
                <w:sz w:val="30"/>
                <w:szCs w:val="30"/>
              </w:rPr>
            </w:pPr>
            <w:r>
              <w:rPr>
                <w:rFonts w:ascii="仿宋_GB2312" w:eastAsia="仿宋_GB2312" w:hAnsi="仿宋_GB2312" w:cs="仿宋_GB2312" w:hint="eastAsia"/>
                <w:kern w:val="0"/>
                <w:sz w:val="24"/>
                <w:szCs w:val="24"/>
                <w:lang w:bidi="ar"/>
              </w:rPr>
              <w:t>基于三维磁电阻率法张量观测模式的解译方法及装置</w:t>
            </w:r>
          </w:p>
        </w:tc>
        <w:tc>
          <w:tcPr>
            <w:tcW w:w="2070" w:type="dxa"/>
            <w:vAlign w:val="center"/>
          </w:tcPr>
          <w:p w:rsidR="00CC6DE4" w:rsidRDefault="00CC6DE4" w:rsidP="00915CB3">
            <w:pPr>
              <w:spacing w:line="400" w:lineRule="exact"/>
              <w:jc w:val="both"/>
              <w:textAlignment w:val="center"/>
              <w:rPr>
                <w:rFonts w:ascii="黑体" w:eastAsia="黑体" w:hAnsi="黑体"/>
                <w:sz w:val="30"/>
                <w:szCs w:val="30"/>
              </w:rPr>
            </w:pPr>
            <w:r>
              <w:rPr>
                <w:rFonts w:ascii="仿宋_GB2312" w:eastAsia="仿宋_GB2312" w:hAnsi="仿宋_GB2312" w:cs="仿宋_GB2312" w:hint="eastAsia"/>
                <w:kern w:val="0"/>
                <w:sz w:val="24"/>
                <w:szCs w:val="24"/>
                <w:lang w:bidi="ar"/>
              </w:rPr>
              <w:t>长江勘测规划设计研究有限责任公司、长江地球物理探测（武汉）有限公司</w:t>
            </w:r>
          </w:p>
        </w:tc>
        <w:tc>
          <w:tcPr>
            <w:tcW w:w="7034" w:type="dxa"/>
            <w:vAlign w:val="center"/>
          </w:tcPr>
          <w:p w:rsidR="00CC6DE4" w:rsidRDefault="00CC6DE4" w:rsidP="00915CB3">
            <w:pPr>
              <w:adjustRightInd w:val="0"/>
              <w:snapToGrid w:val="0"/>
              <w:spacing w:after="0" w:line="400" w:lineRule="exact"/>
              <w:ind w:firstLineChars="200" w:firstLine="480"/>
              <w:jc w:val="both"/>
              <w:rPr>
                <w:rFonts w:ascii="黑体" w:eastAsia="黑体" w:hAnsi="黑体"/>
                <w:sz w:val="30"/>
                <w:szCs w:val="30"/>
              </w:rPr>
            </w:pPr>
            <w:r>
              <w:rPr>
                <w:rFonts w:ascii="仿宋_GB2312" w:eastAsia="仿宋_GB2312" w:hAnsi="仿宋_GB2312" w:cs="仿宋_GB2312" w:hint="eastAsia"/>
                <w:sz w:val="24"/>
                <w:szCs w:val="24"/>
              </w:rPr>
              <w:t>我国堤坝90%以上为土石坝,渗漏是影响工程安全的主要问题,常规渗漏探测技术的效率和精度难以满足汛期工程需求。新兴的磁电阻率法技术优势巨大,但相关技术装置被国外长期垄断,且受条件限制,我国几无应用先例。本专利发明了一种基于三维磁电阻率法张量观测模式的解译方法与装置,不仅解决了土石坝渗漏病害精细探测难题,提升了我国土石坝安全保障能力,同时成功推广于城镇复杂地质条件下深埋管线、地下污染水羽流探测,近四年创造直接经济效益超5.7亿元,间接经济效益超50亿元。经济和社会效益显著。</w:t>
            </w:r>
          </w:p>
        </w:tc>
      </w:tr>
      <w:tr w:rsidR="00CC6DE4" w:rsidTr="0005088D">
        <w:trPr>
          <w:cantSplit/>
          <w:trHeight w:val="3996"/>
        </w:trPr>
        <w:tc>
          <w:tcPr>
            <w:tcW w:w="918" w:type="dxa"/>
            <w:vAlign w:val="center"/>
          </w:tcPr>
          <w:p w:rsidR="00CC6DE4" w:rsidRDefault="00CC6DE4" w:rsidP="0005088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w:t>
            </w:r>
          </w:p>
        </w:tc>
        <w:tc>
          <w:tcPr>
            <w:tcW w:w="2192" w:type="dxa"/>
            <w:vAlign w:val="center"/>
          </w:tcPr>
          <w:p w:rsidR="00CC6DE4" w:rsidRDefault="00CC6DE4" w:rsidP="0005088D">
            <w:pPr>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ZL201710446294.4</w:t>
            </w:r>
          </w:p>
        </w:tc>
        <w:tc>
          <w:tcPr>
            <w:tcW w:w="2488" w:type="dxa"/>
            <w:vAlign w:val="center"/>
          </w:tcPr>
          <w:p w:rsidR="00CC6DE4" w:rsidRDefault="00CC6DE4" w:rsidP="00915CB3">
            <w:pPr>
              <w:spacing w:line="400" w:lineRule="exact"/>
              <w:jc w:val="both"/>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一种振弦式传感器性能分析装置及方法</w:t>
            </w:r>
          </w:p>
        </w:tc>
        <w:tc>
          <w:tcPr>
            <w:tcW w:w="2070" w:type="dxa"/>
            <w:vAlign w:val="center"/>
          </w:tcPr>
          <w:p w:rsidR="00CC6DE4" w:rsidRDefault="00CC6DE4" w:rsidP="00915CB3">
            <w:pPr>
              <w:spacing w:line="400" w:lineRule="exact"/>
              <w:jc w:val="both"/>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长江水利委员会长江科学院</w:t>
            </w:r>
          </w:p>
        </w:tc>
        <w:tc>
          <w:tcPr>
            <w:tcW w:w="7034" w:type="dxa"/>
            <w:vAlign w:val="center"/>
          </w:tcPr>
          <w:p w:rsidR="00CC6DE4" w:rsidRDefault="00CC6DE4" w:rsidP="00915CB3">
            <w:pPr>
              <w:adjustRightInd w:val="0"/>
              <w:snapToGrid w:val="0"/>
              <w:spacing w:after="0"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振弦式传感器是目前水利水电工程和岩土工程应用最广泛的安全监测类仪器，该专利解决了振弦式传感器弱信号采集及埋入后工作状态鉴定的技术难题。该专利近年来已成为水利行业标杆产品，成功完成创新成果转化，实现产学研用结合，在南水北调中线工程、乌东德水电站、白鹤滩水电站、溪洛渡水电站、向家坝水电站、珠三角水资源配置工程、大藤峡水利枢纽工程等国家重大水利工程中规模化应用。依托该技术产品累计使用设备4500余套，接入振弦式安全监测仪器40000余支，产生直接经济效益逾2亿元，为水利水电工程智能安全监控预警提供了高效、可靠、适应性强的技术支撑。</w:t>
            </w:r>
          </w:p>
        </w:tc>
      </w:tr>
      <w:tr w:rsidR="00CC6DE4" w:rsidTr="0005088D">
        <w:trPr>
          <w:cantSplit/>
          <w:trHeight w:val="4178"/>
        </w:trPr>
        <w:tc>
          <w:tcPr>
            <w:tcW w:w="918" w:type="dxa"/>
            <w:vAlign w:val="center"/>
          </w:tcPr>
          <w:p w:rsidR="00CC6DE4" w:rsidRDefault="00CC6DE4" w:rsidP="0005088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192" w:type="dxa"/>
            <w:vAlign w:val="center"/>
          </w:tcPr>
          <w:p w:rsidR="00CC6DE4" w:rsidRDefault="00CC6DE4" w:rsidP="0005088D">
            <w:pPr>
              <w:spacing w:line="40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ZL201710214302.2</w:t>
            </w:r>
          </w:p>
        </w:tc>
        <w:tc>
          <w:tcPr>
            <w:tcW w:w="2488" w:type="dxa"/>
            <w:vAlign w:val="center"/>
          </w:tcPr>
          <w:p w:rsidR="00CC6DE4" w:rsidRDefault="00CC6DE4" w:rsidP="00915CB3">
            <w:pPr>
              <w:spacing w:line="400" w:lineRule="exact"/>
              <w:jc w:val="both"/>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拔桩方法及拔桩系统</w:t>
            </w:r>
          </w:p>
        </w:tc>
        <w:tc>
          <w:tcPr>
            <w:tcW w:w="2070" w:type="dxa"/>
            <w:vAlign w:val="center"/>
          </w:tcPr>
          <w:p w:rsidR="00CC6DE4" w:rsidRDefault="00CC6DE4" w:rsidP="00915CB3">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南京瑞迪建设科技有限公司、水利部交通运输部国家能源局南京水利科学研究院</w:t>
            </w:r>
          </w:p>
        </w:tc>
        <w:tc>
          <w:tcPr>
            <w:tcW w:w="7034" w:type="dxa"/>
            <w:vAlign w:val="center"/>
          </w:tcPr>
          <w:p w:rsidR="00CC6DE4" w:rsidRDefault="00CC6DE4" w:rsidP="00915CB3">
            <w:pPr>
              <w:adjustRightInd w:val="0"/>
              <w:snapToGrid w:val="0"/>
              <w:spacing w:after="0"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盾构技术大量运用于城市交通、引水、排水等隧洞工程，既有工程桩基侵入隧洞空间则成为障碍桩。障碍桩钢筋极易缠绕盾盘，增加出仓更换刀具概率及风险，在盾构机掘进出发之前或临近之前清除障碍桩是一项技术难题。本专利技术已成功应用于多项大直径障碍桩清除项目，确保了盾构工程的安全顺利进行，取得了社会、经济效益。该技术具有拔桩力大、场地空间适应能力强、地基承载能力要求低、对周边建筑物干扰弱、施工工期短、运维成本低、剩余桩基可继续发挥功能。与核心专利一起，共获得5项国家发明专利，填补了水利、交通、地铁行业小空间复杂条件下大直径障碍桩拔桩技术装备空白。</w:t>
            </w:r>
          </w:p>
        </w:tc>
      </w:tr>
      <w:tr w:rsidR="00CC6DE4" w:rsidTr="0005088D">
        <w:trPr>
          <w:cantSplit/>
          <w:trHeight w:val="4092"/>
        </w:trPr>
        <w:tc>
          <w:tcPr>
            <w:tcW w:w="918" w:type="dxa"/>
            <w:vAlign w:val="center"/>
          </w:tcPr>
          <w:p w:rsidR="00CC6DE4" w:rsidRDefault="00CC6DE4" w:rsidP="0005088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p>
        </w:tc>
        <w:tc>
          <w:tcPr>
            <w:tcW w:w="2192" w:type="dxa"/>
            <w:vAlign w:val="center"/>
          </w:tcPr>
          <w:p w:rsidR="00CC6DE4" w:rsidRDefault="00CC6DE4" w:rsidP="0005088D">
            <w:pPr>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ZL202210948881.4</w:t>
            </w:r>
          </w:p>
        </w:tc>
        <w:tc>
          <w:tcPr>
            <w:tcW w:w="2488" w:type="dxa"/>
            <w:vAlign w:val="center"/>
          </w:tcPr>
          <w:p w:rsidR="00CC6DE4" w:rsidRDefault="00CC6DE4" w:rsidP="00915CB3">
            <w:pPr>
              <w:spacing w:line="400" w:lineRule="exact"/>
              <w:jc w:val="both"/>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一种梯级水库群洪水资源利用方法及系统</w:t>
            </w:r>
          </w:p>
        </w:tc>
        <w:tc>
          <w:tcPr>
            <w:tcW w:w="2070" w:type="dxa"/>
            <w:vAlign w:val="center"/>
          </w:tcPr>
          <w:p w:rsidR="00CC6DE4" w:rsidRDefault="00CC6DE4" w:rsidP="00915CB3">
            <w:pPr>
              <w:spacing w:line="400" w:lineRule="exact"/>
              <w:jc w:val="both"/>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长江勘测规划设计研究有限责任公司</w:t>
            </w:r>
          </w:p>
        </w:tc>
        <w:tc>
          <w:tcPr>
            <w:tcW w:w="7034" w:type="dxa"/>
            <w:vAlign w:val="center"/>
          </w:tcPr>
          <w:p w:rsidR="00CC6DE4" w:rsidRDefault="00CC6DE4" w:rsidP="00915CB3">
            <w:pPr>
              <w:spacing w:after="0"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洪水资源利用是有效缓解洪旱灾害损失、实现雨洪资源利用、提高水量利用效率的重要课题,在保障防洪安全的前提下,科学评估洪水资源利用潜力,选取并实施合理有效的洪水资源利用方式,是实施洪水资源利用的关键。本专利发明了一种梯级水库群洪水资源的利用方法,是国家水网和水资源高效利用领域重点技术发展方向,对提高我国复杂环境下水库调度技术水平具有非常重要的现实意义。专利成果已被省部级行业主管部门采纳,用于指导国家重大工程的安全高效运行,取得了巨大的防洪、发电、航运、供水、生态等综合效益,其中因增发电量直接产生经济效益约46亿元,经济和社会效益突出。</w:t>
            </w:r>
          </w:p>
        </w:tc>
      </w:tr>
      <w:tr w:rsidR="00CC6DE4" w:rsidTr="00CC6DE4">
        <w:trPr>
          <w:cantSplit/>
          <w:trHeight w:val="3397"/>
        </w:trPr>
        <w:tc>
          <w:tcPr>
            <w:tcW w:w="918" w:type="dxa"/>
            <w:vAlign w:val="center"/>
          </w:tcPr>
          <w:p w:rsidR="00CC6DE4" w:rsidRDefault="00CC6DE4" w:rsidP="0005088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192" w:type="dxa"/>
            <w:vAlign w:val="center"/>
          </w:tcPr>
          <w:p w:rsidR="00CC6DE4" w:rsidRDefault="00CC6DE4" w:rsidP="0005088D">
            <w:pPr>
              <w:spacing w:line="400" w:lineRule="exact"/>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ZL202010513026.1</w:t>
            </w:r>
          </w:p>
        </w:tc>
        <w:tc>
          <w:tcPr>
            <w:tcW w:w="2488" w:type="dxa"/>
            <w:vAlign w:val="center"/>
          </w:tcPr>
          <w:p w:rsidR="00CC6DE4" w:rsidRDefault="00CC6DE4" w:rsidP="00915CB3">
            <w:pPr>
              <w:spacing w:line="400" w:lineRule="exact"/>
              <w:jc w:val="both"/>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一种基于地面气压分布形势动态改变WRF模式参数化方案组合的方法</w:t>
            </w:r>
          </w:p>
        </w:tc>
        <w:tc>
          <w:tcPr>
            <w:tcW w:w="2070" w:type="dxa"/>
            <w:vAlign w:val="center"/>
          </w:tcPr>
          <w:p w:rsidR="00CC6DE4" w:rsidRDefault="00CC6DE4" w:rsidP="00915CB3">
            <w:pPr>
              <w:spacing w:line="400" w:lineRule="exact"/>
              <w:jc w:val="both"/>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中国水利水电科学研究院</w:t>
            </w:r>
          </w:p>
        </w:tc>
        <w:tc>
          <w:tcPr>
            <w:tcW w:w="7034" w:type="dxa"/>
            <w:vAlign w:val="center"/>
          </w:tcPr>
          <w:p w:rsidR="00CC6DE4" w:rsidRDefault="00CC6DE4" w:rsidP="00915CB3">
            <w:pPr>
              <w:spacing w:after="0"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如何选择合适的WRF参数化方案组合是一个非常重要的工作和难题，本专利根据地面气压分布形势动态设置WRF模式参数化方案组合，方法巧妙，效果明显，解决了领域内关键性、共性难题，推荐申报第二十五届中国专利奖。专利技术在澜沧江流域气象水文一体化预报系统研究、海南省智慧水网信息平台（一期）项目等项目中得到广泛应用，累计实现经济效益达4000多万元。</w:t>
            </w:r>
          </w:p>
        </w:tc>
      </w:tr>
    </w:tbl>
    <w:p w:rsidR="00350690" w:rsidRDefault="00350690" w:rsidP="00CC6DE4">
      <w:pPr>
        <w:pStyle w:val="a5"/>
        <w:shd w:val="clear" w:color="auto" w:fill="FFFFFF"/>
        <w:spacing w:before="0" w:beforeAutospacing="0" w:after="0" w:afterAutospacing="0" w:line="600" w:lineRule="exact"/>
        <w:rPr>
          <w:rFonts w:ascii="仿宋_GB2312" w:eastAsia="仿宋_GB2312" w:hAnsi="仿宋_GB2312" w:cs="仿宋_GB2312"/>
          <w:sz w:val="32"/>
          <w:szCs w:val="32"/>
        </w:rPr>
      </w:pPr>
    </w:p>
    <w:sectPr w:rsidR="00350690">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61" w:rsidRDefault="00C36361">
      <w:pPr>
        <w:spacing w:line="240" w:lineRule="auto"/>
      </w:pPr>
      <w:r>
        <w:separator/>
      </w:r>
    </w:p>
  </w:endnote>
  <w:endnote w:type="continuationSeparator" w:id="0">
    <w:p w:rsidR="00C36361" w:rsidRDefault="00C36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000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93" w:rsidRDefault="000F5B4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30505"/>
              <wp:effectExtent l="0" t="0" r="5715" b="17145"/>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230505"/>
                      </a:xfrm>
                      <a:prstGeom prst="rect">
                        <a:avLst/>
                      </a:prstGeom>
                      <a:noFill/>
                      <a:ln>
                        <a:noFill/>
                      </a:ln>
                    </wps:spPr>
                    <wps:txbx>
                      <w:txbxContent>
                        <w:p w:rsidR="00946B93" w:rsidRDefault="008444AF">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F5B47">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7.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p7vwEAAFgDAAAOAAAAZHJzL2Uyb0RvYy54bWysU8GO0zAQvSPxD5bv1GlXRUvUdAVaLUJa&#10;AdLCB7iO3VjEHsvjbdIfgD/gxIU739Xv2LGbdhe4IS6OPX5+b97MZHU1up7tdEQLvuHzWcWZ9gpa&#10;67cN//zp5sUlZ5ikb2UPXjd8r5FfrZ8/Ww2h1gvooG91ZETisR5Cw7uUQi0Eqk47iTMI2tOlgehk&#10;omPcijbKgdhdLxZV9VIMENsQQWlEil4fL/m68BujVfpgDOrE+oZTbqmssaybvIr1StbbKENn1ZSG&#10;/IcsnLSeRM9U1zJJdh/tX1TOqggIJs0UOAHGWKWLB3Izr/5wc9fJoIsXKg6Gc5nw/9Gq97uPkdmW&#10;eseZl45adPj+7fDj1+HnVzavFstcoSFgTcC7QNA0voExo7NbDLegviBBxBPM8QESOmNGE13+kldG&#10;D6kJ+3Ph9ZiYouDlq+XFkjNFN4uLalkVVfH4NkRMbzU4ljcNj9TWoi93t5iyuqxPkCzl4cb2fWlt&#10;738LEDBHSrbHBHPeadyMk80NtHtyOdBENNzTyHLWv/NU8Dw8p008bTbTJmtgeH2fSLjkk1mPVJMY&#10;ta+kOY1ano+n54J6/CHWDwAAAP//AwBQSwMEFAAGAAgAAAAhAKbFlGTcAAAAAwEAAA8AAABkcnMv&#10;ZG93bnJldi54bWxMj8FOwzAQRO9I/IO1SNyoU4pCSeNUFVUvFKlQOMBtE2+TgL2OYrcNf4/bC1xW&#10;Gs1o5m0+H6wRB+p961jBeJSAIK6cbrlW8P62upmC8AFZo3FMCn7Iw7y4vMgx0+7Ir3TYhlrEEvYZ&#10;KmhC6DIpfdWQRT9yHXH0dq63GKLsa6l7PMZya+RtkqTSYstxocGOHhuqvrd7q2DFqSnN0/R+vVku&#10;XsrPh+XzB38pdX01LGYgAg3hLwwn/IgORWQq3Z61F0ZBfCSc78m7G4MoFUzSCcgil//Zi18AAAD/&#10;/wMAUEsBAi0AFAAGAAgAAAAhALaDOJL+AAAA4QEAABMAAAAAAAAAAAAAAAAAAAAAAFtDb250ZW50&#10;X1R5cGVzXS54bWxQSwECLQAUAAYACAAAACEAOP0h/9YAAACUAQAACwAAAAAAAAAAAAAAAAAvAQAA&#10;X3JlbHMvLnJlbHNQSwECLQAUAAYACAAAACEA3Mfae78BAABYAwAADgAAAAAAAAAAAAAAAAAuAgAA&#10;ZHJzL2Uyb0RvYy54bWxQSwECLQAUAAYACAAAACEApsWUZNwAAAADAQAADwAAAAAAAAAAAAAAAAAZ&#10;BAAAZHJzL2Rvd25yZXYueG1sUEsFBgAAAAAEAAQA8wAAACIFAAAAAA==&#10;" filled="f" stroked="f">
              <v:path arrowok="t"/>
              <v:textbox style="mso-fit-shape-to-text:t" inset="0,0,0,0">
                <w:txbxContent>
                  <w:p w:rsidR="00946B93" w:rsidRDefault="008444AF">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F5B47">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61" w:rsidRDefault="00C36361">
      <w:pPr>
        <w:spacing w:line="240" w:lineRule="auto"/>
      </w:pPr>
      <w:r>
        <w:separator/>
      </w:r>
    </w:p>
  </w:footnote>
  <w:footnote w:type="continuationSeparator" w:id="0">
    <w:p w:rsidR="00C36361" w:rsidRDefault="00C363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3F"/>
    <w:rsid w:val="9FED3C46"/>
    <w:rsid w:val="B5DF3F76"/>
    <w:rsid w:val="B7DF34DA"/>
    <w:rsid w:val="BE7FEDC4"/>
    <w:rsid w:val="BF6DCBD3"/>
    <w:rsid w:val="BFBF18D0"/>
    <w:rsid w:val="BFD7C4A7"/>
    <w:rsid w:val="BFFDB13B"/>
    <w:rsid w:val="CE71ECDC"/>
    <w:rsid w:val="DBFA2F2B"/>
    <w:rsid w:val="DFE5CA26"/>
    <w:rsid w:val="E7FC9926"/>
    <w:rsid w:val="ED8F8CC7"/>
    <w:rsid w:val="EFBF9905"/>
    <w:rsid w:val="EFF744CC"/>
    <w:rsid w:val="EFF849CE"/>
    <w:rsid w:val="F2D7FB05"/>
    <w:rsid w:val="F77F1626"/>
    <w:rsid w:val="F7FE5543"/>
    <w:rsid w:val="FA7C6F51"/>
    <w:rsid w:val="FB9D9D27"/>
    <w:rsid w:val="FDE68201"/>
    <w:rsid w:val="FF7C6959"/>
    <w:rsid w:val="FFB73FDE"/>
    <w:rsid w:val="FFEF7F82"/>
    <w:rsid w:val="000F5B47"/>
    <w:rsid w:val="00350690"/>
    <w:rsid w:val="004A70CD"/>
    <w:rsid w:val="00524A61"/>
    <w:rsid w:val="00651823"/>
    <w:rsid w:val="0070563F"/>
    <w:rsid w:val="007E1267"/>
    <w:rsid w:val="008444AF"/>
    <w:rsid w:val="00915CB3"/>
    <w:rsid w:val="009C76B6"/>
    <w:rsid w:val="00AA2025"/>
    <w:rsid w:val="00C36361"/>
    <w:rsid w:val="00CA33D6"/>
    <w:rsid w:val="00CC6DE4"/>
    <w:rsid w:val="00E0152E"/>
    <w:rsid w:val="00E03A16"/>
    <w:rsid w:val="00F16594"/>
    <w:rsid w:val="0DD3D290"/>
    <w:rsid w:val="1DF6FE21"/>
    <w:rsid w:val="363F8386"/>
    <w:rsid w:val="38ED2C76"/>
    <w:rsid w:val="3ED9C61A"/>
    <w:rsid w:val="3F6D121D"/>
    <w:rsid w:val="3FFE4986"/>
    <w:rsid w:val="3FFEACA3"/>
    <w:rsid w:val="4ADFB9A7"/>
    <w:rsid w:val="57F403BD"/>
    <w:rsid w:val="57FAE6A9"/>
    <w:rsid w:val="57FFCD94"/>
    <w:rsid w:val="5EF1E3B9"/>
    <w:rsid w:val="5FABD15C"/>
    <w:rsid w:val="68FF6639"/>
    <w:rsid w:val="6AF30CD6"/>
    <w:rsid w:val="6FFC4177"/>
    <w:rsid w:val="71FF39A6"/>
    <w:rsid w:val="757D7D57"/>
    <w:rsid w:val="79E3BF55"/>
    <w:rsid w:val="79F27907"/>
    <w:rsid w:val="79FE3C9B"/>
    <w:rsid w:val="7AFF3463"/>
    <w:rsid w:val="7BAFB3C6"/>
    <w:rsid w:val="7EBB0CA3"/>
    <w:rsid w:val="7EFDC278"/>
    <w:rsid w:val="7FD90D51"/>
    <w:rsid w:val="7FFB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kern w:val="2"/>
      <w:sz w:val="18"/>
      <w:szCs w:val="18"/>
    </w:rPr>
  </w:style>
  <w:style w:type="paragraph" w:styleId="1">
    <w:name w:val="heading 1"/>
    <w:basedOn w:val="a"/>
    <w:next w:val="a"/>
    <w:link w:val="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320"/>
        <w:tab w:val="right" w:pos="8640"/>
      </w:tabs>
      <w:spacing w:after="0" w:line="240" w:lineRule="auto"/>
    </w:pPr>
  </w:style>
  <w:style w:type="paragraph" w:styleId="a4">
    <w:name w:val="header"/>
    <w:basedOn w:val="a"/>
    <w:link w:val="Char0"/>
    <w:uiPriority w:val="99"/>
    <w:semiHidden/>
    <w:unhideWhenUsed/>
    <w:qFormat/>
    <w:pPr>
      <w:tabs>
        <w:tab w:val="center" w:pos="4320"/>
        <w:tab w:val="right" w:pos="8640"/>
      </w:tabs>
      <w:spacing w:after="0" w:line="240" w:lineRule="auto"/>
    </w:pPr>
  </w:style>
  <w:style w:type="paragraph" w:styleId="a5">
    <w:name w:val="Normal (Web)"/>
    <w:basedOn w:val="a"/>
    <w:uiPriority w:val="99"/>
    <w:unhideWhenUsed/>
    <w:qFormat/>
    <w:pPr>
      <w:spacing w:before="100" w:beforeAutospacing="1" w:after="100" w:afterAutospacing="1" w:line="240" w:lineRule="auto"/>
    </w:pPr>
    <w:rPr>
      <w:rFonts w:eastAsia="Times New Roman"/>
      <w:kern w:val="0"/>
      <w:sz w:val="24"/>
      <w:szCs w:val="24"/>
    </w:rPr>
  </w:style>
  <w:style w:type="character" w:customStyle="1" w:styleId="Char0">
    <w:name w:val="页眉 Char"/>
    <w:basedOn w:val="a0"/>
    <w:link w:val="a4"/>
    <w:uiPriority w:val="99"/>
    <w:semiHidden/>
    <w:qFormat/>
  </w:style>
  <w:style w:type="character" w:customStyle="1" w:styleId="Char">
    <w:name w:val="页脚 Char"/>
    <w:basedOn w:val="a0"/>
    <w:link w:val="a3"/>
    <w:uiPriority w:val="99"/>
    <w:qFormat/>
  </w:style>
  <w:style w:type="character" w:customStyle="1" w:styleId="1Char">
    <w:name w:val="标题 1 Char"/>
    <w:basedOn w:val="a0"/>
    <w:link w:val="1"/>
    <w:uiPriority w:val="9"/>
    <w:qFormat/>
    <w:rPr>
      <w:rFonts w:eastAsia="Times New Roman"/>
      <w:b/>
      <w:bCs/>
      <w:kern w:val="36"/>
      <w:sz w:val="48"/>
      <w:szCs w:val="48"/>
    </w:rPr>
  </w:style>
  <w:style w:type="table" w:styleId="a6">
    <w:name w:val="Table Grid"/>
    <w:basedOn w:val="a1"/>
    <w:uiPriority w:val="59"/>
    <w:qFormat/>
    <w:rsid w:val="00CC6DE4"/>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kern w:val="2"/>
      <w:sz w:val="18"/>
      <w:szCs w:val="18"/>
    </w:rPr>
  </w:style>
  <w:style w:type="paragraph" w:styleId="1">
    <w:name w:val="heading 1"/>
    <w:basedOn w:val="a"/>
    <w:next w:val="a"/>
    <w:link w:val="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320"/>
        <w:tab w:val="right" w:pos="8640"/>
      </w:tabs>
      <w:spacing w:after="0" w:line="240" w:lineRule="auto"/>
    </w:pPr>
  </w:style>
  <w:style w:type="paragraph" w:styleId="a4">
    <w:name w:val="header"/>
    <w:basedOn w:val="a"/>
    <w:link w:val="Char0"/>
    <w:uiPriority w:val="99"/>
    <w:semiHidden/>
    <w:unhideWhenUsed/>
    <w:qFormat/>
    <w:pPr>
      <w:tabs>
        <w:tab w:val="center" w:pos="4320"/>
        <w:tab w:val="right" w:pos="8640"/>
      </w:tabs>
      <w:spacing w:after="0" w:line="240" w:lineRule="auto"/>
    </w:pPr>
  </w:style>
  <w:style w:type="paragraph" w:styleId="a5">
    <w:name w:val="Normal (Web)"/>
    <w:basedOn w:val="a"/>
    <w:uiPriority w:val="99"/>
    <w:unhideWhenUsed/>
    <w:qFormat/>
    <w:pPr>
      <w:spacing w:before="100" w:beforeAutospacing="1" w:after="100" w:afterAutospacing="1" w:line="240" w:lineRule="auto"/>
    </w:pPr>
    <w:rPr>
      <w:rFonts w:eastAsia="Times New Roman"/>
      <w:kern w:val="0"/>
      <w:sz w:val="24"/>
      <w:szCs w:val="24"/>
    </w:rPr>
  </w:style>
  <w:style w:type="character" w:customStyle="1" w:styleId="Char0">
    <w:name w:val="页眉 Char"/>
    <w:basedOn w:val="a0"/>
    <w:link w:val="a4"/>
    <w:uiPriority w:val="99"/>
    <w:semiHidden/>
    <w:qFormat/>
  </w:style>
  <w:style w:type="character" w:customStyle="1" w:styleId="Char">
    <w:name w:val="页脚 Char"/>
    <w:basedOn w:val="a0"/>
    <w:link w:val="a3"/>
    <w:uiPriority w:val="99"/>
    <w:qFormat/>
  </w:style>
  <w:style w:type="character" w:customStyle="1" w:styleId="1Char">
    <w:name w:val="标题 1 Char"/>
    <w:basedOn w:val="a0"/>
    <w:link w:val="1"/>
    <w:uiPriority w:val="9"/>
    <w:qFormat/>
    <w:rPr>
      <w:rFonts w:eastAsia="Times New Roman"/>
      <w:b/>
      <w:bCs/>
      <w:kern w:val="36"/>
      <w:sz w:val="48"/>
      <w:szCs w:val="48"/>
    </w:rPr>
  </w:style>
  <w:style w:type="table" w:styleId="a6">
    <w:name w:val="Table Grid"/>
    <w:basedOn w:val="a1"/>
    <w:uiPriority w:val="59"/>
    <w:qFormat/>
    <w:rsid w:val="00CC6DE4"/>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1341</Characters>
  <Application>Microsoft Office Word</Application>
  <DocSecurity>0</DocSecurity>
  <Lines>11</Lines>
  <Paragraphs>3</Paragraphs>
  <ScaleCrop>false</ScaleCrop>
  <Company>神州网信技术有限公司</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yjwei</cp:lastModifiedBy>
  <cp:revision>2</cp:revision>
  <dcterms:created xsi:type="dcterms:W3CDTF">2024-01-30T09:14:00Z</dcterms:created>
  <dcterms:modified xsi:type="dcterms:W3CDTF">2024-01-30T09:14:00Z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